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aps w:val="true"/>
          <w:color w:val="C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C00000"/>
          <w:spacing w:val="0"/>
          <w:position w:val="0"/>
          <w:sz w:val="32"/>
          <w:shd w:fill="auto" w:val="clear"/>
        </w:rPr>
        <w:t xml:space="preserve">teme civil </w:t>
      </w:r>
      <w:r>
        <w:rPr>
          <w:rFonts w:ascii="Calibri" w:hAnsi="Calibri" w:cs="Calibri" w:eastAsia="Calibri"/>
          <w:b/>
          <w:caps w:val="true"/>
          <w:color w:val="C00000"/>
          <w:spacing w:val="0"/>
          <w:position w:val="0"/>
          <w:sz w:val="32"/>
          <w:shd w:fill="auto" w:val="clear"/>
        </w:rPr>
        <w:t xml:space="preserve">şi procedură civilă - Sibiu - 1 februarie 2020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  <w:t xml:space="preserve">                  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Prof. univ. dr. Traian BRICIU, Conf. univ. dr. Claudiu Constantin DINU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Aspecte privind timbrajul.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Timbrarea  cererii  prin  care  se  solicit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 regularizarea  datoriilor  comune  ale  soţilor, alături de  partajul bunurilor  comune  dob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ândite  în  timpul 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ăsătoriei.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Taxa  judiciar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 de  timbru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 ipoteza  în  care  prin  contesta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ția  la executare  s-au  solicitat  anularea  actelor  de  executare  silită  și  partajul  bunurilor  proprietate comună.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Stabilirea  taxei  judiciare  de  timbru  aferente  cererii  vizând  obligarea  pârâtului  la demolarea unei construc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ţii.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Tax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de timbru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cazul exercit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căii de atac cu privire la petitul referitor la taxa judiciară de timbru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Dec. RIL 2/2020.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Excep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ţia de litispendenţă.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Interpretarea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și  aplicarea  dispoziţiilor  art.  138 alin.  (4)-(6)  C.  proc.  civ.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 cazul  în  care prima  instan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ță  a  admis  excepția  de  litispendență  și  a  trimis  dosarul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 vederea  reunirii  acestuia cu  un  dosar  identic  aflat  pe  rolul  unei  instan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țe  de  grad  superior,  care  judecă 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 apel  în  ultim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instanță.</w:t>
      </w:r>
    </w:p>
    <w:p>
      <w:pPr>
        <w:numPr>
          <w:ilvl w:val="0"/>
          <w:numId w:val="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Calea de atac împotriva încheierii prin care s-a admis excep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ţia de litispendenţă.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Alegerea  locului  comunic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ării  actelor  de  procedură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sensul  art.  158  C.  proc.  civ.  dup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închiderea  dezbaterilor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și  pronunțarea  soluției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cauz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ă,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perioada  redact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ării  hotăr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ârii judec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ătorești. Locul  comunicării  hotăr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ârii  judec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ătorești.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Posibilitatea  introducerii  în  judecat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  a  moștenitorilor  sezinari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ipoteza decesului  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ărții  pe  parcursul  procesului,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lipsa  emiterii  certificatului  de  mo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ștenitor,  de calitate  de  moștenitor  ori a dovedirii acceptării  moștenirii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orice  mod.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Cheltuieli de judecat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ă.</w:t>
      </w: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Motiv de recurs cu privire la cenzurarea cheltuielilor de judecat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de către instanţa de apel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Dec. RIL 3/2020</w:t>
      </w: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este necesar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precizarea cererii de cheltuieli de judecată cu privire la tipul acestora?</w:t>
      </w: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executarea obliga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ţiei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timpul procesului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şi impactul asupra cheltuielilor de judecată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454 NCPC raportat la art. 1522 alin. 5 NCPC.</w:t>
      </w:r>
    </w:p>
    <w:p>
      <w:pPr>
        <w:numPr>
          <w:ilvl w:val="0"/>
          <w:numId w:val="1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Posibilitatea acord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cheltuielilor de judecată pentru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întreg procesul în cazul în care se caseaz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ă, se reţine cauză şi se rejudecă pe fond.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Aspecte procesuale privind recursul.</w:t>
      </w:r>
    </w:p>
    <w:p>
      <w:pPr>
        <w:numPr>
          <w:ilvl w:val="0"/>
          <w:numId w:val="1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Critici de netemeinicie vs critici de nelegalitate în cadrul recursului. Dec. ÎCCJ 1024/2019.</w:t>
      </w:r>
    </w:p>
    <w:p>
      <w:pPr>
        <w:numPr>
          <w:ilvl w:val="0"/>
          <w:numId w:val="1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Recurs vs îndreptare eroare material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instan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ţa de apel reţine eronat cuantumul despăgubirilor solicitate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Dec.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ÎCCJ 465/2019.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Încadrarea  criticilor  privind  modul  de  aplicare  de  c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ătre  instanţa  de  apel  a  teoriei impreviziunii  privind  contractele  de  credit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încheiate  într-o  moned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  străină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motivul  de casare  reglementat  de  art. 488  alin. (1)  pct. 8 C.  proc. civ.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Admisibilitatea  ac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ţiunii  av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ând  ca  obiect  pronun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țarea  unei  hotăr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âri  care  s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  ţină  loc  de contract  de  v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ânzare  în  ipoteza  în  care  bunul  ce  constituie  obiectul  antecontractului  de  vânzare este  un  teren  extravilan  care  nu  este  înscris în  cartea funciar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Obliga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ție  de  garanție  a  v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ânz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ătorului 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în  cazul  vânz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ării  unei  moșteniri.  Consecințele identificării  bunurilor  ce  compun  masa  succesorală  prin  indicarea  cărții  funciare  și  a numărului cadastral.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3"/>
          <w:shd w:fill="auto" w:val="clear"/>
        </w:rPr>
        <w:t xml:space="preserve">Impreviziunea vs. caracterul abuziv al unei clauze dintr-un contract de credit.</w:t>
      </w:r>
    </w:p>
    <w:p>
      <w:pPr>
        <w:numPr>
          <w:ilvl w:val="0"/>
          <w:numId w:val="22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Posibilitatea  instan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ței  de  a  invoca,  din  oficiu,  excepția  tardivității  și  de  a  dispune decăderea  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ârâtului  din  dreptul  de  a  invoca  excep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ţia  prescripţiei  extinctive  a  dreptului material  la acțiune, excepție  procesuală de  fond  invocată cu  nerespectarea termenului legal.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Invocarea din oficiu, de instan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ţa judecătorească, a unei cauze de nulitate absolută 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 nulitate de drept substan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ţial.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ţiune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constatarea nulit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ăţii, reclamantul invocă,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mod neîntemeiat, mai multe cauze de nulitate absolut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ă, poate  instanţa poate invoca din oficiu o terţă cauză de nulitate absolută şi să admită acţiunea?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ţiune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anulare, reclamantul invoc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mod neîntemeiat, mai multe cauze de nulitate relativ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ă, poate  instanţa poate invoca din oficiu o terţă cauză de nulitate absolută şi să constate nulitatea absolută?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Instan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ţa trebuie să invoce nulitate absolută numai pe cale de excepţie?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Care este sanc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ţiunea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cazul în care instan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ţa nu invocă din oficiu o cauză de nulitate absolută?</w:t>
      </w:r>
    </w:p>
    <w:p>
      <w:pPr>
        <w:numPr>
          <w:ilvl w:val="0"/>
          <w:numId w:val="24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Este obligat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instanţa să invoce din oficiu o cauză de nulitate absolută a unui act juridic care constată o creanţă scrisă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cazul procedurii de sechestru asigur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ător? Dar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procedura ordonan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ţei preşedinţiale?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Contesta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ţia la executare.</w:t>
      </w: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Termen de exercitare în cazul clauzelor abuzive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Cauza CJUE C75/19 din 6.11.2019.</w:t>
      </w: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Invocarea prescrip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ţiei dreptului de a cere executarea silită; termen de invocare şi anulare acte subsecvente.</w:t>
      </w: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Invocarea lipsei calit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ăţii de reprezentant convenţional.</w:t>
      </w: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Invocarea pierderii componentei de executorialitate a titlului pus în executare silit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ă; termen de invocare.</w:t>
      </w:r>
    </w:p>
    <w:p>
      <w:pPr>
        <w:numPr>
          <w:ilvl w:val="0"/>
          <w:numId w:val="26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Invocarea perim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executării silite.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Actul de adjudecare.</w:t>
      </w: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Natura juridic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ă: act de autoritate publică, act autentic, titlu de proprietate, titlu executoriu pentru evacuare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856 alin. 2 NCPC.</w:t>
      </w: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Efectele adjudec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: transmiterea dreptului de proprietate (sau alt drept real), momentul transmiterii  dreptului de proprietate de la debitor la adjudecatar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887 alin. 1 NCC, art. 857 alin. 2 NCPC, purgarea imobilului de sarcini.</w:t>
      </w: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Efectul purgic al adjudec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ării: ipoteci, sarcini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înscrise anterior, drepturi reale întabulate ulterior, interdic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ţii de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înstr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ăinare şi grevare, notările făcute cu urmărirea silită, promisiunile de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ânzare.</w:t>
      </w: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Inexisten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ţa garanţiei pentru viciile ascunse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858 alin. 1 NCPC, art. 1707 alin. 5 NCC.</w:t>
      </w: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Inadmisibilitatea 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ţiunii prin care se atacă v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ânzarea silit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 pentru leziune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858 alin. 2 NCPC.</w:t>
      </w:r>
    </w:p>
    <w:p>
      <w:pPr>
        <w:numPr>
          <w:ilvl w:val="0"/>
          <w:numId w:val="28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ţiuni cu efecte de evicţiune exercitate de terţi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860 NCPC.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Posibilitatea atac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actului de adjudecare : contestaţie la executare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împotriva procesului verbal de licita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849 NCPC, ac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ţiune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în anulare de drept comun.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C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Reluarea execut</w:t>
      </w:r>
      <w:r>
        <w:rPr>
          <w:rFonts w:ascii="Calibri" w:hAnsi="Calibri" w:cs="Calibri" w:eastAsia="Calibri"/>
          <w:b/>
          <w:color w:val="C00000"/>
          <w:spacing w:val="0"/>
          <w:position w:val="0"/>
          <w:sz w:val="24"/>
          <w:shd w:fill="auto" w:val="clear"/>
        </w:rPr>
        <w:t xml:space="preserve">ării silite. 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Reluarea execut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silite se referă la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executarea silită directă sau indirectă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?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Coroborarea cu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suspendarea prescrip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ţiei executării silite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708 alin. 1 pct. 3 NCPC 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cât timp debitorul nu are bunuri urm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ăribile sau care nu au putut fi valorificate ori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și sustrage veniturile și bunurile de la urmărire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).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Reluarea execut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silite trebuie făcută la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acelaşi executor judecătoresc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sau este posibil să se solicite şi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altui executor judecătoresc competent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potrivit legii? Aplicarea art. 653 alin. 2 NCPC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(la cererea creditorului, instanța de executare poate dispune, pentru motive temeinice,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înlocuirea executorului judec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ătoresc cu alt executor judecătoresc indicat de către creditor și continuarea executării silite de către noul executor judecătoresc).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De unde începe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, din punct de vedere procedural, executarea silit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ă, după reluarea acesteia?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Poate executorul judec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ătoresc să analizeze, la reluarea executării silite,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problema intervenirii prescripţiei executării silite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?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Aplicabilitatea art. 705 alin. 2 NCPC 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atât timp cât, potrivit legii, poate avea loc reluarea execut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ării silit).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La reluarea execut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silite, creditorul trebuie să mai treacă prin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filtrul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încuviin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ţării executării silite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? Comparaţie cu ipoteza de la art. 699 NCPC 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în caz de perimare a execut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ării, se va putea face,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în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ăuntrul termenului de prescripție, o nouă cerere de executare silită, dispozițiile art. 665 și 666 fiind aplicabile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în mod corespunz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ător).</w:t>
      </w:r>
    </w:p>
    <w:p>
      <w:pPr>
        <w:numPr>
          <w:ilvl w:val="0"/>
          <w:numId w:val="30"/>
        </w:numPr>
        <w:spacing w:before="0" w:after="0" w:line="240"/>
        <w:ind w:right="0" w:left="360" w:hanging="36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Caz special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de reluare a execut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ării silite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art. 886 alin. 2 NCPC (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creditorii care nu au fost îndestula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ți pot cere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îns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ă reluarea urmăririi silite,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în condi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țiile legii, sau efectuarea unei noi urmăriri asupra altor bunuri ale debitorului, dacă este cazul).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4">
    <w:abstractNumId w:val="78"/>
  </w:num>
  <w:num w:numId="6">
    <w:abstractNumId w:val="72"/>
  </w:num>
  <w:num w:numId="8">
    <w:abstractNumId w:val="66"/>
  </w:num>
  <w:num w:numId="10">
    <w:abstractNumId w:val="60"/>
  </w:num>
  <w:num w:numId="12">
    <w:abstractNumId w:val="54"/>
  </w:num>
  <w:num w:numId="14">
    <w:abstractNumId w:val="48"/>
  </w:num>
  <w:num w:numId="16">
    <w:abstractNumId w:val="42"/>
  </w:num>
  <w:num w:numId="18">
    <w:abstractNumId w:val="36"/>
  </w:num>
  <w:num w:numId="20">
    <w:abstractNumId w:val="30"/>
  </w:num>
  <w:num w:numId="22">
    <w:abstractNumId w:val="24"/>
  </w:num>
  <w:num w:numId="24">
    <w:abstractNumId w:val="18"/>
  </w: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